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39A1" w:rsidRDefault="00000000">
      <w:pPr>
        <w:tabs>
          <w:tab w:val="left" w:pos="5220"/>
        </w:tabs>
        <w:spacing w:after="0"/>
        <w:jc w:val="center"/>
        <w:rPr>
          <w:rFonts w:ascii="Times New Roman" w:hAnsi="Times New Roman" w:cs="Times New Roman"/>
          <w:color w:val="FF0000"/>
        </w:rPr>
      </w:pPr>
      <w:r>
        <w:rPr>
          <w:rFonts w:ascii="Times New Roman" w:hAnsi="Times New Roman" w:cs="Times New Roman"/>
          <w:color w:val="FF0000"/>
        </w:rPr>
        <w:t xml:space="preserve"> Shetkari Shikshan Sanstha’s</w:t>
      </w:r>
    </w:p>
    <w:p w:rsidR="001839A1" w:rsidRDefault="00000000">
      <w:pPr>
        <w:spacing w:after="0"/>
        <w:jc w:val="center"/>
        <w:rPr>
          <w:color w:val="FF0000"/>
        </w:rPr>
      </w:pPr>
      <w:r>
        <w:rPr>
          <w:noProof/>
          <w:color w:val="FF0000"/>
        </w:rPr>
        <w:drawing>
          <wp:inline distT="0" distB="0" distL="0" distR="0">
            <wp:extent cx="447675" cy="342900"/>
            <wp:effectExtent l="0" t="0" r="9525" b="0"/>
            <wp:docPr id="3" name="Picture 1" descr="I:\arts-mareg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arts-maregaon.jpg"/>
                    <pic:cNvPicPr>
                      <a:picLocks noChangeAspect="1" noChangeArrowheads="1"/>
                    </pic:cNvPicPr>
                  </pic:nvPicPr>
                  <pic:blipFill>
                    <a:blip r:embed="rId6" cstate="print"/>
                    <a:srcRect/>
                    <a:stretch>
                      <a:fillRect/>
                    </a:stretch>
                  </pic:blipFill>
                  <pic:spPr>
                    <a:xfrm>
                      <a:off x="0" y="0"/>
                      <a:ext cx="447675" cy="342900"/>
                    </a:xfrm>
                    <a:prstGeom prst="rect">
                      <a:avLst/>
                    </a:prstGeom>
                    <a:noFill/>
                    <a:ln w="9525">
                      <a:noFill/>
                      <a:miter lim="800000"/>
                      <a:headEnd/>
                      <a:tailEnd/>
                    </a:ln>
                  </pic:spPr>
                </pic:pic>
              </a:graphicData>
            </a:graphic>
          </wp:inline>
        </w:drawing>
      </w:r>
    </w:p>
    <w:p w:rsidR="001839A1" w:rsidRDefault="00000000">
      <w:pPr>
        <w:spacing w:after="0"/>
        <w:jc w:val="center"/>
        <w:rPr>
          <w:rFonts w:ascii="Times New Roman" w:hAnsi="Times New Roman" w:cs="Times New Roman"/>
          <w:b/>
          <w:color w:val="00B050"/>
          <w:sz w:val="28"/>
        </w:rPr>
      </w:pPr>
      <w:r>
        <w:rPr>
          <w:rFonts w:ascii="Times New Roman" w:hAnsi="Times New Roman" w:cs="Times New Roman"/>
          <w:b/>
          <w:color w:val="00B050"/>
          <w:sz w:val="28"/>
        </w:rPr>
        <w:t>ARTS, COMMERCE &amp; SCIENCE COLLEGE, MAREGAON (ROAD)</w:t>
      </w:r>
    </w:p>
    <w:p w:rsidR="001839A1" w:rsidRDefault="00000000">
      <w:pPr>
        <w:spacing w:after="0"/>
        <w:jc w:val="center"/>
        <w:rPr>
          <w:rFonts w:ascii="Times New Roman" w:hAnsi="Times New Roman" w:cs="Times New Roman"/>
          <w:color w:val="00B050"/>
          <w:sz w:val="24"/>
        </w:rPr>
      </w:pPr>
      <w:r>
        <w:rPr>
          <w:rFonts w:ascii="Times New Roman" w:hAnsi="Times New Roman" w:cs="Times New Roman"/>
          <w:color w:val="00B050"/>
          <w:sz w:val="24"/>
        </w:rPr>
        <w:t>Dist. Yavatmal- 445 303 (M.S.) India</w:t>
      </w:r>
    </w:p>
    <w:p w:rsidR="001839A1" w:rsidRDefault="00000000">
      <w:pPr>
        <w:spacing w:after="0"/>
        <w:jc w:val="center"/>
        <w:rPr>
          <w:rFonts w:ascii="Times New Roman" w:hAnsi="Times New Roman" w:cs="Times New Roman"/>
          <w:color w:val="FF33CC"/>
          <w:sz w:val="20"/>
        </w:rPr>
      </w:pPr>
      <w:r>
        <w:rPr>
          <w:rFonts w:ascii="Times New Roman" w:hAnsi="Times New Roman" w:cs="Times New Roman"/>
          <w:color w:val="FF33CC"/>
          <w:sz w:val="20"/>
        </w:rPr>
        <w:t>(Affiliated to Sant Gadge Baba Amravati University, Amravati)</w:t>
      </w:r>
    </w:p>
    <w:p w:rsidR="0096576E" w:rsidRDefault="00F63E12" w:rsidP="0096576E">
      <w:pPr>
        <w:jc w:val="center"/>
        <w:rPr>
          <w:rStyle w:val="Strong"/>
          <w:b w:val="0"/>
          <w:bCs w:val="0"/>
          <w:color w:val="FF33CC"/>
          <w:sz w:val="20"/>
        </w:rPr>
      </w:pPr>
      <w:r>
        <w:rPr>
          <w:rFonts w:ascii="Times New Roman" w:hAnsi="Times New Roman" w:cs="Times New Roman"/>
          <w:noProof/>
          <w:color w:val="FF0000"/>
          <w:sz w:val="28"/>
          <w:szCs w:val="16"/>
          <w:u w:val="single"/>
        </w:rPr>
        <mc:AlternateContent>
          <mc:Choice Requires="wps">
            <w:drawing>
              <wp:anchor distT="0" distB="0" distL="114300" distR="114300" simplePos="0" relativeHeight="251661824" behindDoc="0" locked="0" layoutInCell="1" allowOverlap="1">
                <wp:simplePos x="0" y="0"/>
                <wp:positionH relativeFrom="column">
                  <wp:posOffset>-1041400</wp:posOffset>
                </wp:positionH>
                <wp:positionV relativeFrom="paragraph">
                  <wp:posOffset>294005</wp:posOffset>
                </wp:positionV>
                <wp:extent cx="7450455" cy="19050"/>
                <wp:effectExtent l="0" t="0" r="36195" b="19050"/>
                <wp:wrapNone/>
                <wp:docPr id="1" name="Straight Arrow Connector 1"/>
                <wp:cNvGraphicFramePr/>
                <a:graphic xmlns:a="http://schemas.openxmlformats.org/drawingml/2006/main">
                  <a:graphicData uri="http://schemas.microsoft.com/office/word/2010/wordprocessingShape">
                    <wps:wsp>
                      <wps:cNvCnPr/>
                      <wps:spPr>
                        <a:xfrm flipV="1">
                          <a:off x="0" y="0"/>
                          <a:ext cx="7450455" cy="19050"/>
                        </a:xfrm>
                        <a:prstGeom prst="straightConnector1">
                          <a:avLst/>
                        </a:prstGeom>
                        <a:ln w="9525" cap="flat" cmpd="sng">
                          <a:solidFill>
                            <a:srgbClr val="00B050"/>
                          </a:solidFill>
                          <a:prstDash val="solid"/>
                          <a:headEnd type="none" w="med" len="med"/>
                          <a:tailEnd type="none" w="med" len="med"/>
                        </a:ln>
                      </wps:spPr>
                      <wps:bodyPr/>
                    </wps:wsp>
                  </a:graphicData>
                </a:graphic>
              </wp:anchor>
            </w:drawing>
          </mc:Choice>
          <mc:Fallback>
            <w:pict>
              <v:shapetype w14:anchorId="12182FE3" id="_x0000_t32" coordsize="21600,21600" o:spt="32" o:oned="t" path="m,l21600,21600e" filled="f">
                <v:path arrowok="t" fillok="f" o:connecttype="none"/>
                <o:lock v:ext="edit" shapetype="t"/>
              </v:shapetype>
              <v:shape id="Straight Arrow Connector 1" o:spid="_x0000_s1026" type="#_x0000_t32" style="position:absolute;margin-left:-82pt;margin-top:23.15pt;width:586.65pt;height:1.5pt;flip:y;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" strokecolor="#00b050"/>
            </w:pict>
          </mc:Fallback>
        </mc:AlternateContent>
      </w:r>
      <w:r>
        <w:rPr>
          <w:noProof/>
          <w:sz w:val="10"/>
        </w:rPr>
        <mc:AlternateContent>
          <mc:Choice Requires="wps">
            <w:drawing>
              <wp:anchor distT="0" distB="0" distL="114300" distR="114300" simplePos="0" relativeHeight="251656704" behindDoc="0" locked="0" layoutInCell="1" allowOverlap="1">
                <wp:simplePos x="0" y="0"/>
                <wp:positionH relativeFrom="column">
                  <wp:posOffset>-1082675</wp:posOffset>
                </wp:positionH>
                <wp:positionV relativeFrom="paragraph">
                  <wp:posOffset>262255</wp:posOffset>
                </wp:positionV>
                <wp:extent cx="7498080" cy="0"/>
                <wp:effectExtent l="0" t="19050" r="26670" b="19050"/>
                <wp:wrapNone/>
                <wp:docPr id="2" name="Straight Arrow Connector 2"/>
                <wp:cNvGraphicFramePr/>
                <a:graphic xmlns:a="http://schemas.openxmlformats.org/drawingml/2006/main">
                  <a:graphicData uri="http://schemas.microsoft.com/office/word/2010/wordprocessingShape">
                    <wps:wsp>
                      <wps:cNvCnPr/>
                      <wps:spPr>
                        <a:xfrm>
                          <a:off x="0" y="0"/>
                          <a:ext cx="7498080" cy="0"/>
                        </a:xfrm>
                        <a:prstGeom prst="straightConnector1">
                          <a:avLst/>
                        </a:prstGeom>
                        <a:ln w="31750" cap="flat" cmpd="sng">
                          <a:solidFill>
                            <a:schemeClr val="accent6">
                              <a:lumMod val="50000"/>
                            </a:schemeClr>
                          </a:solidFill>
                          <a:prstDash val="solid"/>
                          <a:headEnd type="none" w="med" len="med"/>
                          <a:tailEnd type="none" w="med" len="med"/>
                        </a:ln>
                      </wps:spPr>
                      <wps:bodyPr/>
                    </wps:wsp>
                  </a:graphicData>
                </a:graphic>
              </wp:anchor>
            </w:drawing>
          </mc:Choice>
          <mc:Fallback>
            <w:pict>
              <v:shape w14:anchorId="3B609C7A" id="Straight Arrow Connector 2" o:spid="_x0000_s1026" type="#_x0000_t32" style="position:absolute;margin-left:-85.25pt;margin-top:20.65pt;width:590.4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" strokecolor="#375623 [1609]" strokeweight="2.5pt"/>
            </w:pict>
          </mc:Fallback>
        </mc:AlternateContent>
      </w:r>
      <w:r>
        <w:rPr>
          <w:rFonts w:ascii="Times New Roman" w:hAnsi="Times New Roman" w:cs="Times New Roman"/>
          <w:color w:val="FF33CC"/>
          <w:sz w:val="20"/>
        </w:rPr>
        <w:t>NAAC Accredited at ‘B+’ grade with CGPA 2.51 (Cycle-I)</w:t>
      </w:r>
    </w:p>
    <w:p w:rsidR="0096576E" w:rsidRDefault="0096576E" w:rsidP="00342278">
      <w:pPr>
        <w:rPr>
          <w:rFonts w:ascii="Verdana" w:hAnsi="Verdana"/>
          <w:b/>
          <w:bCs/>
          <w:color w:val="CC3399"/>
          <w:sz w:val="24"/>
          <w:szCs w:val="24"/>
          <w:u w:val="single"/>
        </w:rPr>
      </w:pPr>
    </w:p>
    <w:p w:rsidR="0096576E" w:rsidRDefault="0018708A" w:rsidP="0096576E">
      <w:pPr>
        <w:jc w:val="both"/>
        <w:rPr>
          <w:rFonts w:ascii="Verdana" w:hAnsi="Verdana" w:cs="Arial"/>
          <w:b/>
          <w:bCs/>
          <w:color w:val="D533C6"/>
          <w:sz w:val="23"/>
          <w:szCs w:val="23"/>
          <w:shd w:val="clear" w:color="auto" w:fill="FFFFFF"/>
        </w:rPr>
      </w:pPr>
      <w:r w:rsidRPr="0018708A">
        <w:rPr>
          <w:rFonts w:ascii="Verdana" w:hAnsi="Verdana" w:cs="Arial"/>
          <w:b/>
          <w:bCs/>
          <w:color w:val="D533C6"/>
          <w:sz w:val="23"/>
          <w:szCs w:val="23"/>
          <w:shd w:val="clear" w:color="auto" w:fill="FFFFFF"/>
        </w:rPr>
        <w:t>6.5.1: Internal Quality Assurance Cell (IQAC) has contributed significantly for institutionalizing the quality assurance strategies and processes. It reviews teaching learning process, structures &amp; methodologies of operations and learning outcomes at periodic intervals and records the incremental improvement in various activities</w:t>
      </w:r>
    </w:p>
    <w:p w:rsidR="000A1168" w:rsidRPr="000A1168" w:rsidRDefault="000A1168" w:rsidP="000A1168">
      <w:pPr>
        <w:spacing w:after="0"/>
        <w:jc w:val="both"/>
        <w:rPr>
          <w:rFonts w:ascii="Verdana" w:hAnsi="Verdana" w:cs="Arial"/>
          <w:color w:val="DF39CF"/>
          <w:sz w:val="23"/>
          <w:szCs w:val="23"/>
          <w:shd w:val="clear" w:color="auto" w:fill="FFFFFF"/>
          <w:lang w:val="en-IN"/>
        </w:rPr>
      </w:pPr>
      <w:r w:rsidRPr="000A1168">
        <w:rPr>
          <w:rFonts w:ascii="Verdana" w:hAnsi="Verdana" w:cs="Arial"/>
          <w:b/>
          <w:bCs/>
          <w:color w:val="DF39CF"/>
          <w:sz w:val="23"/>
          <w:szCs w:val="23"/>
          <w:shd w:val="clear" w:color="auto" w:fill="FFFFFF"/>
          <w:lang w:val="en-IN"/>
        </w:rPr>
        <w:t>T</w:t>
      </w:r>
      <w:r w:rsidRPr="000A1168">
        <w:rPr>
          <w:rFonts w:ascii="Verdana" w:hAnsi="Verdana" w:cs="Arial"/>
          <w:b/>
          <w:bCs/>
          <w:color w:val="DF39CF"/>
          <w:sz w:val="23"/>
          <w:szCs w:val="23"/>
          <w:shd w:val="clear" w:color="auto" w:fill="FFFFFF"/>
          <w:lang w:val="en-IN"/>
        </w:rPr>
        <w:t>eaching and Learning:</w:t>
      </w:r>
    </w:p>
    <w:p w:rsidR="000A1168" w:rsidRPr="000A1168" w:rsidRDefault="000A1168" w:rsidP="000A1168">
      <w:pPr>
        <w:spacing w:after="0"/>
        <w:jc w:val="both"/>
        <w:rPr>
          <w:rFonts w:ascii="Verdana" w:hAnsi="Verdana" w:cs="Arial"/>
          <w:color w:val="7030A0"/>
          <w:sz w:val="23"/>
          <w:szCs w:val="23"/>
          <w:shd w:val="clear" w:color="auto" w:fill="FFFFFF"/>
          <w:lang w:val="en-IN"/>
        </w:rPr>
      </w:pPr>
      <w:r w:rsidRPr="000A1168">
        <w:rPr>
          <w:rFonts w:ascii="Verdana" w:hAnsi="Verdana" w:cs="Arial"/>
          <w:color w:val="7030A0"/>
          <w:sz w:val="23"/>
          <w:szCs w:val="23"/>
          <w:shd w:val="clear" w:color="auto" w:fill="FFFFFF"/>
          <w:lang w:val="en-IN"/>
        </w:rPr>
        <w:t>IQAC Contribute, Monitors and Evaluates the Teaching &amp; Learning processes:</w:t>
      </w:r>
    </w:p>
    <w:p w:rsidR="000A1168" w:rsidRPr="000A1168" w:rsidRDefault="000A1168" w:rsidP="000A1168">
      <w:pPr>
        <w:numPr>
          <w:ilvl w:val="0"/>
          <w:numId w:val="2"/>
        </w:numPr>
        <w:spacing w:after="0"/>
        <w:jc w:val="both"/>
        <w:rPr>
          <w:rFonts w:ascii="Verdana" w:hAnsi="Verdana" w:cs="Arial"/>
          <w:color w:val="7030A0"/>
          <w:sz w:val="23"/>
          <w:szCs w:val="23"/>
          <w:shd w:val="clear" w:color="auto" w:fill="FFFFFF"/>
          <w:lang w:val="en-IN"/>
        </w:rPr>
      </w:pPr>
      <w:r w:rsidRPr="000A1168">
        <w:rPr>
          <w:rFonts w:ascii="Verdana" w:hAnsi="Verdana" w:cs="Arial"/>
          <w:color w:val="7030A0"/>
          <w:sz w:val="23"/>
          <w:szCs w:val="23"/>
          <w:shd w:val="clear" w:color="auto" w:fill="FFFFFF"/>
          <w:lang w:val="en-IN"/>
        </w:rPr>
        <w:t>Feedback from the stakeholders (students, alumni, and parents).</w:t>
      </w:r>
    </w:p>
    <w:p w:rsidR="000A1168" w:rsidRPr="000A1168" w:rsidRDefault="000A1168" w:rsidP="000A1168">
      <w:pPr>
        <w:numPr>
          <w:ilvl w:val="0"/>
          <w:numId w:val="2"/>
        </w:numPr>
        <w:spacing w:after="0"/>
        <w:jc w:val="both"/>
        <w:rPr>
          <w:rFonts w:ascii="Verdana" w:hAnsi="Verdana" w:cs="Arial"/>
          <w:color w:val="7030A0"/>
          <w:sz w:val="23"/>
          <w:szCs w:val="23"/>
          <w:shd w:val="clear" w:color="auto" w:fill="FFFFFF"/>
          <w:lang w:val="en-IN"/>
        </w:rPr>
      </w:pPr>
      <w:r w:rsidRPr="000A1168">
        <w:rPr>
          <w:rFonts w:ascii="Verdana" w:hAnsi="Verdana" w:cs="Arial"/>
          <w:color w:val="7030A0"/>
          <w:sz w:val="23"/>
          <w:szCs w:val="23"/>
          <w:shd w:val="clear" w:color="auto" w:fill="FFFFFF"/>
          <w:lang w:val="en-IN"/>
        </w:rPr>
        <w:t>Monitoring of course files,</w:t>
      </w:r>
    </w:p>
    <w:p w:rsidR="000A1168" w:rsidRPr="000A1168" w:rsidRDefault="000A1168" w:rsidP="000A1168">
      <w:pPr>
        <w:numPr>
          <w:ilvl w:val="0"/>
          <w:numId w:val="2"/>
        </w:numPr>
        <w:spacing w:after="0"/>
        <w:jc w:val="both"/>
        <w:rPr>
          <w:rFonts w:ascii="Verdana" w:hAnsi="Verdana" w:cs="Arial"/>
          <w:color w:val="7030A0"/>
          <w:sz w:val="23"/>
          <w:szCs w:val="23"/>
          <w:shd w:val="clear" w:color="auto" w:fill="FFFFFF"/>
          <w:lang w:val="en-IN"/>
        </w:rPr>
      </w:pPr>
      <w:r w:rsidRPr="000A1168">
        <w:rPr>
          <w:rFonts w:ascii="Verdana" w:hAnsi="Verdana" w:cs="Arial"/>
          <w:color w:val="7030A0"/>
          <w:sz w:val="23"/>
          <w:szCs w:val="23"/>
          <w:shd w:val="clear" w:color="auto" w:fill="FFFFFF"/>
          <w:lang w:val="en-IN"/>
        </w:rPr>
        <w:t>Lecture Schedules,</w:t>
      </w:r>
    </w:p>
    <w:p w:rsidR="000A1168" w:rsidRPr="000A1168" w:rsidRDefault="000A1168" w:rsidP="000A1168">
      <w:pPr>
        <w:numPr>
          <w:ilvl w:val="0"/>
          <w:numId w:val="2"/>
        </w:numPr>
        <w:spacing w:after="0"/>
        <w:jc w:val="both"/>
        <w:rPr>
          <w:rFonts w:ascii="Verdana" w:hAnsi="Verdana" w:cs="Arial"/>
          <w:color w:val="7030A0"/>
          <w:sz w:val="23"/>
          <w:szCs w:val="23"/>
          <w:shd w:val="clear" w:color="auto" w:fill="FFFFFF"/>
          <w:lang w:val="en-IN"/>
        </w:rPr>
      </w:pPr>
      <w:r w:rsidRPr="000A1168">
        <w:rPr>
          <w:rFonts w:ascii="Verdana" w:hAnsi="Verdana" w:cs="Arial"/>
          <w:color w:val="7030A0"/>
          <w:sz w:val="23"/>
          <w:szCs w:val="23"/>
          <w:shd w:val="clear" w:color="auto" w:fill="FFFFFF"/>
          <w:lang w:val="en-IN"/>
        </w:rPr>
        <w:t>Course plans by random sampling Verification of cycle test analysis,</w:t>
      </w:r>
    </w:p>
    <w:p w:rsidR="000A1168" w:rsidRPr="000A1168" w:rsidRDefault="000A1168" w:rsidP="000A1168">
      <w:pPr>
        <w:numPr>
          <w:ilvl w:val="0"/>
          <w:numId w:val="2"/>
        </w:numPr>
        <w:spacing w:after="0"/>
        <w:jc w:val="both"/>
        <w:rPr>
          <w:rFonts w:ascii="Verdana" w:hAnsi="Verdana" w:cs="Arial"/>
          <w:color w:val="7030A0"/>
          <w:sz w:val="23"/>
          <w:szCs w:val="23"/>
          <w:shd w:val="clear" w:color="auto" w:fill="FFFFFF"/>
          <w:lang w:val="en-IN"/>
        </w:rPr>
      </w:pPr>
      <w:r w:rsidRPr="000A1168">
        <w:rPr>
          <w:rFonts w:ascii="Verdana" w:hAnsi="Verdana" w:cs="Arial"/>
          <w:color w:val="7030A0"/>
          <w:sz w:val="23"/>
          <w:szCs w:val="23"/>
          <w:shd w:val="clear" w:color="auto" w:fill="FFFFFF"/>
          <w:lang w:val="en-IN"/>
        </w:rPr>
        <w:t>Question papers, Arrangement of special classes for weak students.</w:t>
      </w:r>
    </w:p>
    <w:p w:rsidR="000A1168" w:rsidRPr="000A1168" w:rsidRDefault="000A1168" w:rsidP="000A1168">
      <w:pPr>
        <w:numPr>
          <w:ilvl w:val="0"/>
          <w:numId w:val="2"/>
        </w:numPr>
        <w:spacing w:after="0"/>
        <w:jc w:val="both"/>
        <w:rPr>
          <w:rFonts w:ascii="Verdana" w:hAnsi="Verdana" w:cs="Arial"/>
          <w:color w:val="7030A0"/>
          <w:sz w:val="23"/>
          <w:szCs w:val="23"/>
          <w:shd w:val="clear" w:color="auto" w:fill="FFFFFF"/>
          <w:lang w:val="en-IN"/>
        </w:rPr>
      </w:pPr>
      <w:r w:rsidRPr="000A1168">
        <w:rPr>
          <w:rFonts w:ascii="Verdana" w:hAnsi="Verdana" w:cs="Arial"/>
          <w:color w:val="7030A0"/>
          <w:sz w:val="23"/>
          <w:szCs w:val="23"/>
          <w:shd w:val="clear" w:color="auto" w:fill="FFFFFF"/>
          <w:lang w:val="en-IN"/>
        </w:rPr>
        <w:t>Identifying the new processes and recommending the same for improving the quality.</w:t>
      </w:r>
    </w:p>
    <w:p w:rsidR="000A1168" w:rsidRPr="000A1168" w:rsidRDefault="000A1168" w:rsidP="000A1168">
      <w:pPr>
        <w:spacing w:after="0"/>
        <w:jc w:val="both"/>
        <w:rPr>
          <w:rFonts w:ascii="Verdana" w:hAnsi="Verdana" w:cs="Arial"/>
          <w:color w:val="DF39CF"/>
          <w:sz w:val="23"/>
          <w:szCs w:val="23"/>
          <w:shd w:val="clear" w:color="auto" w:fill="FFFFFF"/>
          <w:lang w:val="en-IN"/>
        </w:rPr>
      </w:pPr>
      <w:r w:rsidRPr="000A1168">
        <w:rPr>
          <w:rFonts w:ascii="Verdana" w:hAnsi="Verdana" w:cs="Arial"/>
          <w:b/>
          <w:bCs/>
          <w:color w:val="DF39CF"/>
          <w:sz w:val="23"/>
          <w:szCs w:val="23"/>
          <w:shd w:val="clear" w:color="auto" w:fill="FFFFFF"/>
          <w:lang w:val="en-IN"/>
        </w:rPr>
        <w:t>Research</w:t>
      </w:r>
      <w:r>
        <w:rPr>
          <w:rFonts w:ascii="Verdana" w:hAnsi="Verdana" w:cs="Arial"/>
          <w:b/>
          <w:bCs/>
          <w:color w:val="DF39CF"/>
          <w:sz w:val="23"/>
          <w:szCs w:val="23"/>
          <w:shd w:val="clear" w:color="auto" w:fill="FFFFFF"/>
          <w:lang w:val="en-IN"/>
        </w:rPr>
        <w:t>:</w:t>
      </w:r>
    </w:p>
    <w:p w:rsidR="000A1168" w:rsidRPr="000A1168" w:rsidRDefault="000A1168" w:rsidP="000A1168">
      <w:pPr>
        <w:numPr>
          <w:ilvl w:val="0"/>
          <w:numId w:val="3"/>
        </w:numPr>
        <w:spacing w:after="0"/>
        <w:jc w:val="both"/>
        <w:rPr>
          <w:rFonts w:ascii="Verdana" w:hAnsi="Verdana" w:cs="Arial"/>
          <w:color w:val="7030A0"/>
          <w:sz w:val="23"/>
          <w:szCs w:val="23"/>
          <w:shd w:val="clear" w:color="auto" w:fill="FFFFFF"/>
          <w:lang w:val="en-IN"/>
        </w:rPr>
      </w:pPr>
      <w:r w:rsidRPr="000A1168">
        <w:rPr>
          <w:rFonts w:ascii="Verdana" w:hAnsi="Verdana" w:cs="Arial"/>
          <w:color w:val="7030A0"/>
          <w:sz w:val="23"/>
          <w:szCs w:val="23"/>
          <w:shd w:val="clear" w:color="auto" w:fill="FFFFFF"/>
          <w:lang w:val="en-IN"/>
        </w:rPr>
        <w:t>In our Institution, the IQAC plays an important role relating to quality improvement amongst the staff. The IQAC always motivates to teaching staff for the participations and paper presentations in national and international Conferences and Seminars.</w:t>
      </w:r>
    </w:p>
    <w:p w:rsidR="000A1168" w:rsidRPr="000A1168" w:rsidRDefault="000A1168" w:rsidP="000A1168">
      <w:pPr>
        <w:numPr>
          <w:ilvl w:val="0"/>
          <w:numId w:val="3"/>
        </w:numPr>
        <w:spacing w:after="0"/>
        <w:jc w:val="both"/>
        <w:rPr>
          <w:rFonts w:ascii="Verdana" w:hAnsi="Verdana" w:cs="Arial"/>
          <w:color w:val="7030A0"/>
          <w:sz w:val="23"/>
          <w:szCs w:val="23"/>
          <w:shd w:val="clear" w:color="auto" w:fill="FFFFFF"/>
          <w:lang w:val="en-IN"/>
        </w:rPr>
      </w:pPr>
      <w:r w:rsidRPr="000A1168">
        <w:rPr>
          <w:rFonts w:ascii="Verdana" w:hAnsi="Verdana" w:cs="Arial"/>
          <w:color w:val="7030A0"/>
          <w:sz w:val="23"/>
          <w:szCs w:val="23"/>
          <w:shd w:val="clear" w:color="auto" w:fill="FFFFFF"/>
          <w:lang w:val="en-IN"/>
        </w:rPr>
        <w:t>The IQAC inspires teachers to publish research articles in reputed national and international journals.</w:t>
      </w:r>
    </w:p>
    <w:p w:rsidR="000A1168" w:rsidRPr="000A1168" w:rsidRDefault="000A1168" w:rsidP="000A1168">
      <w:pPr>
        <w:numPr>
          <w:ilvl w:val="0"/>
          <w:numId w:val="3"/>
        </w:numPr>
        <w:spacing w:after="0"/>
        <w:jc w:val="both"/>
        <w:rPr>
          <w:rFonts w:ascii="Verdana" w:hAnsi="Verdana" w:cs="Arial"/>
          <w:color w:val="7030A0"/>
          <w:sz w:val="23"/>
          <w:szCs w:val="23"/>
          <w:shd w:val="clear" w:color="auto" w:fill="FFFFFF"/>
          <w:lang w:val="en-IN"/>
        </w:rPr>
      </w:pPr>
      <w:r w:rsidRPr="000A1168">
        <w:rPr>
          <w:rFonts w:ascii="Verdana" w:hAnsi="Verdana" w:cs="Arial"/>
          <w:color w:val="7030A0"/>
          <w:sz w:val="23"/>
          <w:szCs w:val="23"/>
          <w:shd w:val="clear" w:color="auto" w:fill="FFFFFF"/>
          <w:lang w:val="en-IN"/>
        </w:rPr>
        <w:t>The IQAC encourages the faculties to undertake Major and Minor Research Projects. Presently, there is no provision of funds for research and development. The necessary budget allocated by funding agencies like UGC and University is provided and utilized as per norms of concerned agencies. In this way, the IQAC channelizes the research culture in the College.</w:t>
      </w:r>
    </w:p>
    <w:p w:rsidR="000A1168" w:rsidRPr="000A1168" w:rsidRDefault="000A1168" w:rsidP="000A1168">
      <w:pPr>
        <w:spacing w:after="0"/>
        <w:jc w:val="both"/>
        <w:rPr>
          <w:rFonts w:ascii="Verdana" w:hAnsi="Verdana" w:cs="Arial"/>
          <w:color w:val="DF39CF"/>
          <w:sz w:val="23"/>
          <w:szCs w:val="23"/>
          <w:shd w:val="clear" w:color="auto" w:fill="FFFFFF"/>
          <w:lang w:val="en-IN"/>
        </w:rPr>
      </w:pPr>
      <w:r w:rsidRPr="000A1168">
        <w:rPr>
          <w:rFonts w:ascii="Verdana" w:hAnsi="Verdana" w:cs="Arial"/>
          <w:b/>
          <w:bCs/>
          <w:color w:val="DF39CF"/>
          <w:sz w:val="23"/>
          <w:szCs w:val="23"/>
          <w:shd w:val="clear" w:color="auto" w:fill="FFFFFF"/>
          <w:lang w:val="en-IN"/>
        </w:rPr>
        <w:t>Sports</w:t>
      </w:r>
      <w:r w:rsidRPr="000A1168">
        <w:rPr>
          <w:rFonts w:ascii="Verdana" w:hAnsi="Verdana" w:cs="Arial"/>
          <w:b/>
          <w:bCs/>
          <w:color w:val="DF39CF"/>
          <w:sz w:val="23"/>
          <w:szCs w:val="23"/>
          <w:shd w:val="clear" w:color="auto" w:fill="FFFFFF"/>
          <w:lang w:val="en-IN"/>
        </w:rPr>
        <w:t>:</w:t>
      </w:r>
    </w:p>
    <w:p w:rsidR="000A1168" w:rsidRPr="000A1168" w:rsidRDefault="000A1168" w:rsidP="000A1168">
      <w:pPr>
        <w:numPr>
          <w:ilvl w:val="0"/>
          <w:numId w:val="4"/>
        </w:numPr>
        <w:spacing w:after="0"/>
        <w:jc w:val="both"/>
        <w:rPr>
          <w:rFonts w:ascii="Verdana" w:hAnsi="Verdana" w:cs="Arial"/>
          <w:color w:val="7030A0"/>
          <w:sz w:val="23"/>
          <w:szCs w:val="23"/>
          <w:shd w:val="clear" w:color="auto" w:fill="FFFFFF"/>
          <w:lang w:val="en-IN"/>
        </w:rPr>
      </w:pPr>
      <w:r w:rsidRPr="000A1168">
        <w:rPr>
          <w:rFonts w:ascii="Verdana" w:hAnsi="Verdana" w:cs="Arial"/>
          <w:color w:val="7030A0"/>
          <w:sz w:val="23"/>
          <w:szCs w:val="23"/>
          <w:shd w:val="clear" w:color="auto" w:fill="FFFFFF"/>
          <w:lang w:val="en-IN"/>
        </w:rPr>
        <w:t>The IQAC channelizes the sports culture in the College.</w:t>
      </w:r>
    </w:p>
    <w:p w:rsidR="000A1168" w:rsidRPr="000A1168" w:rsidRDefault="000A1168" w:rsidP="000A1168">
      <w:pPr>
        <w:numPr>
          <w:ilvl w:val="0"/>
          <w:numId w:val="4"/>
        </w:numPr>
        <w:spacing w:after="0"/>
        <w:jc w:val="both"/>
        <w:rPr>
          <w:rFonts w:ascii="Verdana" w:hAnsi="Verdana" w:cs="Arial"/>
          <w:color w:val="7030A0"/>
          <w:sz w:val="23"/>
          <w:szCs w:val="23"/>
          <w:shd w:val="clear" w:color="auto" w:fill="FFFFFF"/>
          <w:lang w:val="en-IN"/>
        </w:rPr>
      </w:pPr>
      <w:r w:rsidRPr="000A1168">
        <w:rPr>
          <w:rFonts w:ascii="Verdana" w:hAnsi="Verdana" w:cs="Arial"/>
          <w:color w:val="7030A0"/>
          <w:sz w:val="23"/>
          <w:szCs w:val="23"/>
          <w:shd w:val="clear" w:color="auto" w:fill="FFFFFF"/>
          <w:lang w:val="en-IN"/>
        </w:rPr>
        <w:lastRenderedPageBreak/>
        <w:t>The Sports Department of the College organizes continuously different sports competitions.</w:t>
      </w:r>
    </w:p>
    <w:p w:rsidR="000A1168" w:rsidRPr="000A1168" w:rsidRDefault="000A1168" w:rsidP="000A1168">
      <w:pPr>
        <w:numPr>
          <w:ilvl w:val="0"/>
          <w:numId w:val="4"/>
        </w:numPr>
        <w:spacing w:after="0"/>
        <w:jc w:val="both"/>
        <w:rPr>
          <w:rFonts w:ascii="Verdana" w:hAnsi="Verdana" w:cs="Arial"/>
          <w:color w:val="7030A0"/>
          <w:sz w:val="23"/>
          <w:szCs w:val="23"/>
          <w:shd w:val="clear" w:color="auto" w:fill="FFFFFF"/>
          <w:lang w:val="en-IN"/>
        </w:rPr>
      </w:pPr>
      <w:r w:rsidRPr="000A1168">
        <w:rPr>
          <w:rFonts w:ascii="Verdana" w:hAnsi="Verdana" w:cs="Arial"/>
          <w:color w:val="7030A0"/>
          <w:sz w:val="23"/>
          <w:szCs w:val="23"/>
          <w:shd w:val="clear" w:color="auto" w:fill="FFFFFF"/>
          <w:lang w:val="en-IN"/>
        </w:rPr>
        <w:t>Subsequently, Institution motivates students to participate in national and university level sports events.          </w:t>
      </w:r>
      <w:r w:rsidRPr="000A1168">
        <w:rPr>
          <w:rFonts w:ascii="Verdana" w:hAnsi="Verdana" w:cs="Arial"/>
          <w:b/>
          <w:bCs/>
          <w:color w:val="7030A0"/>
          <w:sz w:val="23"/>
          <w:szCs w:val="23"/>
          <w:shd w:val="clear" w:color="auto" w:fill="FFFFFF"/>
          <w:lang w:val="en-IN"/>
        </w:rPr>
        <w:t> </w:t>
      </w:r>
    </w:p>
    <w:p w:rsidR="000A1168" w:rsidRPr="000A1168" w:rsidRDefault="000A1168" w:rsidP="000A1168">
      <w:pPr>
        <w:spacing w:after="0"/>
        <w:jc w:val="both"/>
        <w:rPr>
          <w:rFonts w:ascii="Verdana" w:hAnsi="Verdana" w:cs="Arial"/>
          <w:color w:val="DF39CF"/>
          <w:sz w:val="23"/>
          <w:szCs w:val="23"/>
          <w:shd w:val="clear" w:color="auto" w:fill="FFFFFF"/>
          <w:lang w:val="en-IN"/>
        </w:rPr>
      </w:pPr>
      <w:r w:rsidRPr="000A1168">
        <w:rPr>
          <w:rFonts w:ascii="Verdana" w:hAnsi="Verdana" w:cs="Arial"/>
          <w:b/>
          <w:bCs/>
          <w:color w:val="DF39CF"/>
          <w:sz w:val="23"/>
          <w:szCs w:val="23"/>
          <w:shd w:val="clear" w:color="auto" w:fill="FFFFFF"/>
          <w:lang w:val="en-IN"/>
        </w:rPr>
        <w:t>Mechanism to Monitor Teaching-Learning Process:</w:t>
      </w:r>
    </w:p>
    <w:p w:rsidR="000A1168" w:rsidRPr="000A1168" w:rsidRDefault="000A1168" w:rsidP="000A1168">
      <w:pPr>
        <w:numPr>
          <w:ilvl w:val="0"/>
          <w:numId w:val="4"/>
        </w:numPr>
        <w:spacing w:after="0"/>
        <w:jc w:val="both"/>
        <w:rPr>
          <w:rFonts w:ascii="Verdana" w:hAnsi="Verdana" w:cs="Arial"/>
          <w:color w:val="7030A0"/>
          <w:sz w:val="23"/>
          <w:szCs w:val="23"/>
          <w:shd w:val="clear" w:color="auto" w:fill="FFFFFF"/>
          <w:lang w:val="en-IN"/>
        </w:rPr>
      </w:pPr>
      <w:r w:rsidRPr="000A1168">
        <w:rPr>
          <w:rFonts w:ascii="Verdana" w:hAnsi="Verdana" w:cs="Arial"/>
          <w:color w:val="7030A0"/>
          <w:sz w:val="23"/>
          <w:szCs w:val="23"/>
          <w:shd w:val="clear" w:color="auto" w:fill="FFFFFF"/>
          <w:lang w:val="en-IN"/>
        </w:rPr>
        <w:t>Initially, the IQAC follows the Academic Calendar provided by the University to plan yearly teaching - learning process.</w:t>
      </w:r>
    </w:p>
    <w:p w:rsidR="000A1168" w:rsidRPr="000A1168" w:rsidRDefault="000A1168" w:rsidP="000A1168">
      <w:pPr>
        <w:numPr>
          <w:ilvl w:val="0"/>
          <w:numId w:val="4"/>
        </w:numPr>
        <w:spacing w:after="0"/>
        <w:jc w:val="both"/>
        <w:rPr>
          <w:rFonts w:ascii="Verdana" w:hAnsi="Verdana" w:cs="Arial"/>
          <w:color w:val="7030A0"/>
          <w:sz w:val="23"/>
          <w:szCs w:val="23"/>
          <w:shd w:val="clear" w:color="auto" w:fill="FFFFFF"/>
          <w:lang w:val="en-IN"/>
        </w:rPr>
      </w:pPr>
      <w:r w:rsidRPr="000A1168">
        <w:rPr>
          <w:rFonts w:ascii="Verdana" w:hAnsi="Verdana" w:cs="Arial"/>
          <w:color w:val="7030A0"/>
          <w:sz w:val="23"/>
          <w:szCs w:val="23"/>
          <w:shd w:val="clear" w:color="auto" w:fill="FFFFFF"/>
          <w:lang w:val="en-IN"/>
        </w:rPr>
        <w:t>The departmental meetings headed by the HODs wherein distribution of the syllabus, accordingly, is maintained amongst the staff members. This plan is also shared with the students.</w:t>
      </w:r>
    </w:p>
    <w:p w:rsidR="000A1168" w:rsidRPr="000A1168" w:rsidRDefault="000A1168" w:rsidP="000A1168">
      <w:pPr>
        <w:numPr>
          <w:ilvl w:val="0"/>
          <w:numId w:val="4"/>
        </w:numPr>
        <w:spacing w:after="0"/>
        <w:jc w:val="both"/>
        <w:rPr>
          <w:rFonts w:ascii="Verdana" w:hAnsi="Verdana" w:cs="Arial"/>
          <w:color w:val="7030A0"/>
          <w:sz w:val="23"/>
          <w:szCs w:val="23"/>
          <w:shd w:val="clear" w:color="auto" w:fill="FFFFFF"/>
          <w:lang w:val="en-IN"/>
        </w:rPr>
      </w:pPr>
      <w:r w:rsidRPr="000A1168">
        <w:rPr>
          <w:rFonts w:ascii="Verdana" w:hAnsi="Verdana" w:cs="Arial"/>
          <w:color w:val="7030A0"/>
          <w:sz w:val="23"/>
          <w:szCs w:val="23"/>
          <w:shd w:val="clear" w:color="auto" w:fill="FFFFFF"/>
          <w:lang w:val="en-IN"/>
        </w:rPr>
        <w:t>Periodically, preparation of action plans of teaching – learning is completed as well as monitored by respective HODs and the head of the institute of the College.</w:t>
      </w:r>
    </w:p>
    <w:p w:rsidR="000A1168" w:rsidRPr="000A1168" w:rsidRDefault="000A1168" w:rsidP="000A1168">
      <w:pPr>
        <w:numPr>
          <w:ilvl w:val="0"/>
          <w:numId w:val="4"/>
        </w:numPr>
        <w:spacing w:after="0"/>
        <w:jc w:val="both"/>
        <w:rPr>
          <w:rFonts w:ascii="Verdana" w:hAnsi="Verdana" w:cs="Arial"/>
          <w:color w:val="7030A0"/>
          <w:sz w:val="23"/>
          <w:szCs w:val="23"/>
          <w:shd w:val="clear" w:color="auto" w:fill="FFFFFF"/>
          <w:lang w:val="en-IN"/>
        </w:rPr>
      </w:pPr>
      <w:r w:rsidRPr="000A1168">
        <w:rPr>
          <w:rFonts w:ascii="Verdana" w:hAnsi="Verdana" w:cs="Arial"/>
          <w:color w:val="7030A0"/>
          <w:sz w:val="23"/>
          <w:szCs w:val="23"/>
          <w:shd w:val="clear" w:color="auto" w:fill="FFFFFF"/>
          <w:lang w:val="en-IN"/>
        </w:rPr>
        <w:t>The teaching – learning outcome is evaluated by providing the feedback proforma prepared by the IQAC to the students of every class. Accordingly, the students record their responses through the proforma.</w:t>
      </w:r>
    </w:p>
    <w:p w:rsidR="000A1168" w:rsidRPr="000A1168" w:rsidRDefault="000A1168" w:rsidP="000A1168">
      <w:pPr>
        <w:numPr>
          <w:ilvl w:val="0"/>
          <w:numId w:val="4"/>
        </w:numPr>
        <w:spacing w:after="0"/>
        <w:jc w:val="both"/>
        <w:rPr>
          <w:rFonts w:ascii="Verdana" w:hAnsi="Verdana" w:cs="Arial"/>
          <w:color w:val="7030A0"/>
          <w:sz w:val="23"/>
          <w:szCs w:val="23"/>
          <w:shd w:val="clear" w:color="auto" w:fill="FFFFFF"/>
          <w:lang w:val="en-IN"/>
        </w:rPr>
      </w:pPr>
      <w:r w:rsidRPr="000A1168">
        <w:rPr>
          <w:rFonts w:ascii="Verdana" w:hAnsi="Verdana" w:cs="Arial"/>
          <w:color w:val="7030A0"/>
          <w:sz w:val="23"/>
          <w:szCs w:val="23"/>
          <w:shd w:val="clear" w:color="auto" w:fill="FFFFFF"/>
          <w:lang w:val="en-IN"/>
        </w:rPr>
        <w:t>The students’ responses are evaluated carefully by the IQAC and the shortcomings mentioned by the students regarding the teaching learning are conveyed to the concerned teacher.</w:t>
      </w:r>
    </w:p>
    <w:p w:rsidR="000A1168" w:rsidRPr="000A1168" w:rsidRDefault="000A1168" w:rsidP="000A1168">
      <w:pPr>
        <w:numPr>
          <w:ilvl w:val="0"/>
          <w:numId w:val="4"/>
        </w:numPr>
        <w:spacing w:after="0"/>
        <w:jc w:val="both"/>
        <w:rPr>
          <w:rFonts w:ascii="Verdana" w:hAnsi="Verdana" w:cs="Arial"/>
          <w:color w:val="7030A0"/>
          <w:sz w:val="23"/>
          <w:szCs w:val="23"/>
          <w:shd w:val="clear" w:color="auto" w:fill="FFFFFF"/>
          <w:lang w:val="en-IN"/>
        </w:rPr>
      </w:pPr>
      <w:r w:rsidRPr="000A1168">
        <w:rPr>
          <w:rFonts w:ascii="Verdana" w:hAnsi="Verdana" w:cs="Arial"/>
          <w:color w:val="7030A0"/>
          <w:sz w:val="23"/>
          <w:szCs w:val="23"/>
          <w:shd w:val="clear" w:color="auto" w:fill="FFFFFF"/>
          <w:lang w:val="en-IN"/>
        </w:rPr>
        <w:t>Secondly</w:t>
      </w:r>
      <w:r w:rsidRPr="000A1168">
        <w:rPr>
          <w:rFonts w:ascii="Verdana" w:hAnsi="Verdana" w:cs="Arial"/>
          <w:b/>
          <w:bCs/>
          <w:color w:val="7030A0"/>
          <w:sz w:val="23"/>
          <w:szCs w:val="23"/>
          <w:shd w:val="clear" w:color="auto" w:fill="FFFFFF"/>
          <w:lang w:val="en-IN"/>
        </w:rPr>
        <w:t xml:space="preserve">, </w:t>
      </w:r>
      <w:r w:rsidRPr="000A1168">
        <w:rPr>
          <w:rFonts w:ascii="Verdana" w:hAnsi="Verdana" w:cs="Arial"/>
          <w:color w:val="7030A0"/>
          <w:sz w:val="23"/>
          <w:szCs w:val="23"/>
          <w:shd w:val="clear" w:color="auto" w:fill="FFFFFF"/>
          <w:lang w:val="en-IN"/>
        </w:rPr>
        <w:t>the College appointed faculty in charge for class observation also conveys their responses to the IQAC and their responses are evaluated and the outcome of the same is conveyed to the concerned teachers.</w:t>
      </w:r>
    </w:p>
    <w:p w:rsidR="000A1168" w:rsidRPr="000A1168" w:rsidRDefault="000A1168" w:rsidP="000A1168">
      <w:pPr>
        <w:numPr>
          <w:ilvl w:val="0"/>
          <w:numId w:val="4"/>
        </w:numPr>
        <w:spacing w:after="0"/>
        <w:jc w:val="both"/>
        <w:rPr>
          <w:rFonts w:ascii="Verdana" w:hAnsi="Verdana" w:cs="Arial"/>
          <w:color w:val="7030A0"/>
          <w:sz w:val="23"/>
          <w:szCs w:val="23"/>
          <w:shd w:val="clear" w:color="auto" w:fill="FFFFFF"/>
          <w:lang w:val="en-IN"/>
        </w:rPr>
      </w:pPr>
      <w:r w:rsidRPr="000A1168">
        <w:rPr>
          <w:rFonts w:ascii="Verdana" w:hAnsi="Verdana" w:cs="Arial"/>
          <w:color w:val="7030A0"/>
          <w:sz w:val="23"/>
          <w:szCs w:val="23"/>
          <w:shd w:val="clear" w:color="auto" w:fill="FFFFFF"/>
          <w:lang w:val="en-IN"/>
        </w:rPr>
        <w:t>The students and faculty in charge’s suggestions help in solving the difficulties which come across the teaching – learning process.</w:t>
      </w:r>
    </w:p>
    <w:p w:rsidR="000A1168" w:rsidRPr="000A1168" w:rsidRDefault="000A1168" w:rsidP="000A1168">
      <w:pPr>
        <w:numPr>
          <w:ilvl w:val="0"/>
          <w:numId w:val="4"/>
        </w:numPr>
        <w:spacing w:after="0"/>
        <w:jc w:val="both"/>
        <w:rPr>
          <w:rFonts w:ascii="Verdana" w:hAnsi="Verdana" w:cs="Arial"/>
          <w:color w:val="7030A0"/>
          <w:sz w:val="23"/>
          <w:szCs w:val="23"/>
          <w:shd w:val="clear" w:color="auto" w:fill="FFFFFF"/>
          <w:lang w:val="en-IN"/>
        </w:rPr>
      </w:pPr>
      <w:r w:rsidRPr="000A1168">
        <w:rPr>
          <w:rFonts w:ascii="Verdana" w:hAnsi="Verdana" w:cs="Arial"/>
          <w:color w:val="7030A0"/>
          <w:sz w:val="23"/>
          <w:szCs w:val="23"/>
          <w:shd w:val="clear" w:color="auto" w:fill="FFFFFF"/>
          <w:lang w:val="en-IN"/>
        </w:rPr>
        <w:t>At the end of each semester, the IQAC collects the teachers’ diaries, completion of the syllabus etc. which help us in reviewing this process effectively.</w:t>
      </w:r>
    </w:p>
    <w:p w:rsidR="000A1168" w:rsidRPr="000A1168" w:rsidRDefault="000A1168" w:rsidP="000A1168">
      <w:pPr>
        <w:numPr>
          <w:ilvl w:val="0"/>
          <w:numId w:val="4"/>
        </w:numPr>
        <w:spacing w:after="0"/>
        <w:jc w:val="both"/>
        <w:rPr>
          <w:rFonts w:ascii="Verdana" w:hAnsi="Verdana" w:cs="Arial"/>
          <w:color w:val="7030A0"/>
          <w:sz w:val="23"/>
          <w:szCs w:val="23"/>
          <w:shd w:val="clear" w:color="auto" w:fill="FFFFFF"/>
          <w:lang w:val="en-IN"/>
        </w:rPr>
      </w:pPr>
      <w:r w:rsidRPr="000A1168">
        <w:rPr>
          <w:rFonts w:ascii="Verdana" w:hAnsi="Verdana" w:cs="Arial"/>
          <w:color w:val="7030A0"/>
          <w:sz w:val="23"/>
          <w:szCs w:val="23"/>
          <w:shd w:val="clear" w:color="auto" w:fill="FFFFFF"/>
          <w:lang w:val="en-IN"/>
        </w:rPr>
        <w:t>Structured Feedback System is developed.</w:t>
      </w:r>
    </w:p>
    <w:p w:rsidR="000A1168" w:rsidRPr="000A1168" w:rsidRDefault="000A1168" w:rsidP="000A1168">
      <w:pPr>
        <w:numPr>
          <w:ilvl w:val="0"/>
          <w:numId w:val="4"/>
        </w:numPr>
        <w:spacing w:after="0"/>
        <w:jc w:val="both"/>
        <w:rPr>
          <w:rFonts w:ascii="Verdana" w:hAnsi="Verdana" w:cs="Arial"/>
          <w:color w:val="7030A0"/>
          <w:sz w:val="23"/>
          <w:szCs w:val="23"/>
          <w:shd w:val="clear" w:color="auto" w:fill="FFFFFF"/>
          <w:lang w:val="en-IN"/>
        </w:rPr>
      </w:pPr>
      <w:r w:rsidRPr="000A1168">
        <w:rPr>
          <w:rFonts w:ascii="Verdana" w:hAnsi="Verdana" w:cs="Arial"/>
          <w:color w:val="7030A0"/>
          <w:sz w:val="23"/>
          <w:szCs w:val="23"/>
          <w:shd w:val="clear" w:color="auto" w:fill="FFFFFF"/>
          <w:lang w:val="en-IN"/>
        </w:rPr>
        <w:t>Most of the faculty members have completed their research work leading to PhD. Degree.</w:t>
      </w:r>
    </w:p>
    <w:p w:rsidR="000A1168" w:rsidRPr="000A1168" w:rsidRDefault="000A1168" w:rsidP="000A1168">
      <w:pPr>
        <w:numPr>
          <w:ilvl w:val="0"/>
          <w:numId w:val="4"/>
        </w:numPr>
        <w:spacing w:after="0"/>
        <w:jc w:val="both"/>
        <w:rPr>
          <w:rFonts w:ascii="Verdana" w:hAnsi="Verdana" w:cs="Arial"/>
          <w:color w:val="7030A0"/>
          <w:sz w:val="23"/>
          <w:szCs w:val="23"/>
          <w:shd w:val="clear" w:color="auto" w:fill="FFFFFF"/>
          <w:lang w:val="en-IN"/>
        </w:rPr>
      </w:pPr>
      <w:r w:rsidRPr="000A1168">
        <w:rPr>
          <w:rFonts w:ascii="Verdana" w:hAnsi="Verdana" w:cs="Arial"/>
          <w:color w:val="7030A0"/>
          <w:sz w:val="23"/>
          <w:szCs w:val="23"/>
          <w:shd w:val="clear" w:color="auto" w:fill="FFFFFF"/>
          <w:lang w:val="en-IN"/>
        </w:rPr>
        <w:t>Recognized Research Centre for PhD degree have been started in Chemistry, Botany, Physics, Commerce, English, Sociology, Marathi and History.</w:t>
      </w:r>
    </w:p>
    <w:p w:rsidR="000A1168" w:rsidRPr="000A1168" w:rsidRDefault="000A1168" w:rsidP="000A1168">
      <w:pPr>
        <w:numPr>
          <w:ilvl w:val="0"/>
          <w:numId w:val="4"/>
        </w:numPr>
        <w:spacing w:after="0"/>
        <w:jc w:val="both"/>
        <w:rPr>
          <w:rFonts w:ascii="Verdana" w:hAnsi="Verdana" w:cs="Arial"/>
          <w:color w:val="7030A0"/>
          <w:sz w:val="23"/>
          <w:szCs w:val="23"/>
          <w:shd w:val="clear" w:color="auto" w:fill="FFFFFF"/>
          <w:lang w:val="en-IN"/>
        </w:rPr>
      </w:pPr>
      <w:r w:rsidRPr="000A1168">
        <w:rPr>
          <w:rFonts w:ascii="Verdana" w:hAnsi="Verdana" w:cs="Arial"/>
          <w:color w:val="7030A0"/>
          <w:sz w:val="23"/>
          <w:szCs w:val="23"/>
          <w:shd w:val="clear" w:color="auto" w:fill="FFFFFF"/>
          <w:lang w:val="en-IN"/>
        </w:rPr>
        <w:t>Regular meeting of Internal Quality Assurance Cell (IQAC).</w:t>
      </w:r>
    </w:p>
    <w:p w:rsidR="000A1168" w:rsidRPr="000A1168" w:rsidRDefault="000A1168" w:rsidP="000A1168">
      <w:pPr>
        <w:numPr>
          <w:ilvl w:val="0"/>
          <w:numId w:val="4"/>
        </w:numPr>
        <w:spacing w:after="0"/>
        <w:jc w:val="both"/>
        <w:rPr>
          <w:rFonts w:ascii="Verdana" w:hAnsi="Verdana" w:cs="Arial"/>
          <w:color w:val="7030A0"/>
          <w:sz w:val="23"/>
          <w:szCs w:val="23"/>
          <w:shd w:val="clear" w:color="auto" w:fill="FFFFFF"/>
          <w:lang w:val="en-IN"/>
        </w:rPr>
      </w:pPr>
      <w:r w:rsidRPr="000A1168">
        <w:rPr>
          <w:rFonts w:ascii="Verdana" w:hAnsi="Verdana" w:cs="Arial"/>
          <w:color w:val="7030A0"/>
          <w:sz w:val="23"/>
          <w:szCs w:val="23"/>
          <w:shd w:val="clear" w:color="auto" w:fill="FFFFFF"/>
          <w:lang w:val="en-IN"/>
        </w:rPr>
        <w:t xml:space="preserve">Feedback collected, </w:t>
      </w:r>
      <w:r w:rsidRPr="000A1168">
        <w:rPr>
          <w:rFonts w:ascii="Verdana" w:hAnsi="Verdana" w:cs="Arial"/>
          <w:color w:val="7030A0"/>
          <w:sz w:val="23"/>
          <w:szCs w:val="23"/>
          <w:shd w:val="clear" w:color="auto" w:fill="FFFFFF"/>
          <w:lang w:val="en-IN"/>
        </w:rPr>
        <w:t>analysed</w:t>
      </w:r>
      <w:r w:rsidRPr="000A1168">
        <w:rPr>
          <w:rFonts w:ascii="Verdana" w:hAnsi="Verdana" w:cs="Arial"/>
          <w:color w:val="7030A0"/>
          <w:sz w:val="23"/>
          <w:szCs w:val="23"/>
          <w:shd w:val="clear" w:color="auto" w:fill="FFFFFF"/>
          <w:lang w:val="en-IN"/>
        </w:rPr>
        <w:t xml:space="preserve"> and used for improvements.</w:t>
      </w:r>
    </w:p>
    <w:p w:rsidR="000A1168" w:rsidRPr="000A1168" w:rsidRDefault="000A1168" w:rsidP="000A1168">
      <w:pPr>
        <w:numPr>
          <w:ilvl w:val="0"/>
          <w:numId w:val="4"/>
        </w:numPr>
        <w:spacing w:after="0"/>
        <w:jc w:val="both"/>
        <w:rPr>
          <w:rFonts w:ascii="Verdana" w:hAnsi="Verdana" w:cs="Arial"/>
          <w:color w:val="7030A0"/>
          <w:sz w:val="23"/>
          <w:szCs w:val="23"/>
          <w:shd w:val="clear" w:color="auto" w:fill="FFFFFF"/>
          <w:lang w:val="en-IN"/>
        </w:rPr>
      </w:pPr>
      <w:r w:rsidRPr="000A1168">
        <w:rPr>
          <w:rFonts w:ascii="Verdana" w:hAnsi="Verdana" w:cs="Arial"/>
          <w:color w:val="7030A0"/>
          <w:sz w:val="23"/>
          <w:szCs w:val="23"/>
          <w:shd w:val="clear" w:color="auto" w:fill="FFFFFF"/>
          <w:lang w:val="en-IN"/>
        </w:rPr>
        <w:t>Collaborative quality initiatives with other institutions</w:t>
      </w:r>
    </w:p>
    <w:p w:rsidR="000A1168" w:rsidRPr="000A1168" w:rsidRDefault="000A1168" w:rsidP="000A1168">
      <w:pPr>
        <w:numPr>
          <w:ilvl w:val="0"/>
          <w:numId w:val="4"/>
        </w:numPr>
        <w:spacing w:after="0"/>
        <w:jc w:val="both"/>
        <w:rPr>
          <w:rFonts w:ascii="Verdana" w:hAnsi="Verdana" w:cs="Arial"/>
          <w:color w:val="7030A0"/>
          <w:sz w:val="23"/>
          <w:szCs w:val="23"/>
          <w:shd w:val="clear" w:color="auto" w:fill="FFFFFF"/>
          <w:lang w:val="en-IN"/>
        </w:rPr>
      </w:pPr>
      <w:r w:rsidRPr="000A1168">
        <w:rPr>
          <w:rFonts w:ascii="Verdana" w:hAnsi="Verdana" w:cs="Arial"/>
          <w:color w:val="7030A0"/>
          <w:sz w:val="23"/>
          <w:szCs w:val="23"/>
          <w:shd w:val="clear" w:color="auto" w:fill="FFFFFF"/>
          <w:lang w:val="en-IN"/>
        </w:rPr>
        <w:t>ISO certification</w:t>
      </w:r>
    </w:p>
    <w:p w:rsidR="000A1168" w:rsidRPr="000A1168" w:rsidRDefault="000A1168" w:rsidP="000A1168">
      <w:pPr>
        <w:numPr>
          <w:ilvl w:val="0"/>
          <w:numId w:val="4"/>
        </w:numPr>
        <w:spacing w:after="0"/>
        <w:jc w:val="both"/>
        <w:rPr>
          <w:rFonts w:ascii="Verdana" w:hAnsi="Verdana" w:cs="Arial"/>
          <w:color w:val="7030A0"/>
          <w:sz w:val="23"/>
          <w:szCs w:val="23"/>
          <w:shd w:val="clear" w:color="auto" w:fill="FFFFFF"/>
          <w:lang w:val="en-IN"/>
        </w:rPr>
      </w:pPr>
      <w:r w:rsidRPr="000A1168">
        <w:rPr>
          <w:rFonts w:ascii="Verdana" w:hAnsi="Verdana" w:cs="Arial"/>
          <w:color w:val="7030A0"/>
          <w:sz w:val="23"/>
          <w:szCs w:val="23"/>
          <w:shd w:val="clear" w:color="auto" w:fill="FFFFFF"/>
          <w:lang w:val="en-IN"/>
        </w:rPr>
        <w:t>Participating in UNNAT BHARAT ABHIYAN</w:t>
      </w:r>
    </w:p>
    <w:p w:rsidR="008A1AE9" w:rsidRPr="000A1168" w:rsidRDefault="008A1AE9" w:rsidP="0096576E">
      <w:pPr>
        <w:jc w:val="both"/>
        <w:rPr>
          <w:rFonts w:ascii="Verdana" w:hAnsi="Verdana" w:cs="Arial"/>
          <w:color w:val="7030A0"/>
          <w:sz w:val="23"/>
          <w:szCs w:val="23"/>
          <w:shd w:val="clear" w:color="auto" w:fill="FFFFFF"/>
        </w:rPr>
      </w:pPr>
    </w:p>
    <w:p w:rsidR="0096576E" w:rsidRPr="000A1168" w:rsidRDefault="0096576E" w:rsidP="0096576E">
      <w:pPr>
        <w:rPr>
          <w:rFonts w:ascii="Verdana" w:hAnsi="Verdana"/>
          <w:color w:val="7030A0"/>
        </w:rPr>
      </w:pPr>
    </w:p>
    <w:sectPr w:rsidR="0096576E" w:rsidRPr="000A1168">
      <w:pgSz w:w="11906" w:h="16838"/>
      <w:pgMar w:top="5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7AEB21"/>
    <w:multiLevelType w:val="singleLevel"/>
    <w:tmpl w:val="F67AEB2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A5B7489"/>
    <w:multiLevelType w:val="multilevel"/>
    <w:tmpl w:val="D3E8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2A2F94"/>
    <w:multiLevelType w:val="multilevel"/>
    <w:tmpl w:val="1A84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B81591F"/>
    <w:multiLevelType w:val="multilevel"/>
    <w:tmpl w:val="88EA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9127541">
    <w:abstractNumId w:val="0"/>
  </w:num>
  <w:num w:numId="2" w16cid:durableId="1363163467">
    <w:abstractNumId w:val="2"/>
  </w:num>
  <w:num w:numId="3" w16cid:durableId="1044018228">
    <w:abstractNumId w:val="3"/>
  </w:num>
  <w:num w:numId="4" w16cid:durableId="898520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A1"/>
    <w:rsid w:val="000A1168"/>
    <w:rsid w:val="0018276B"/>
    <w:rsid w:val="001839A1"/>
    <w:rsid w:val="0018708A"/>
    <w:rsid w:val="00214510"/>
    <w:rsid w:val="00217FC0"/>
    <w:rsid w:val="0022560A"/>
    <w:rsid w:val="002952A6"/>
    <w:rsid w:val="00327724"/>
    <w:rsid w:val="00342278"/>
    <w:rsid w:val="003B05AF"/>
    <w:rsid w:val="0043692B"/>
    <w:rsid w:val="004B3DD7"/>
    <w:rsid w:val="004B626B"/>
    <w:rsid w:val="004C6CEB"/>
    <w:rsid w:val="00541DE1"/>
    <w:rsid w:val="00553165"/>
    <w:rsid w:val="005E0735"/>
    <w:rsid w:val="00627067"/>
    <w:rsid w:val="006915E7"/>
    <w:rsid w:val="006A4286"/>
    <w:rsid w:val="007826A7"/>
    <w:rsid w:val="0080284E"/>
    <w:rsid w:val="008156BD"/>
    <w:rsid w:val="00890136"/>
    <w:rsid w:val="008A1AE9"/>
    <w:rsid w:val="008E241C"/>
    <w:rsid w:val="0096105E"/>
    <w:rsid w:val="0096576E"/>
    <w:rsid w:val="009D06AF"/>
    <w:rsid w:val="009F717B"/>
    <w:rsid w:val="00A96633"/>
    <w:rsid w:val="00B02830"/>
    <w:rsid w:val="00B21243"/>
    <w:rsid w:val="00BA68DA"/>
    <w:rsid w:val="00CA5418"/>
    <w:rsid w:val="00D26A56"/>
    <w:rsid w:val="00D507A7"/>
    <w:rsid w:val="00D81DBA"/>
    <w:rsid w:val="00E71A78"/>
    <w:rsid w:val="00F407AE"/>
    <w:rsid w:val="00F63E12"/>
    <w:rsid w:val="00F71F5E"/>
    <w:rsid w:val="00F74224"/>
    <w:rsid w:val="00FC771B"/>
    <w:rsid w:val="12DA0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6B8DF"/>
  <w15:docId w15:val="{EBAEA586-3D4F-45EE-ADAA-3E4F38D5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Theme="minorHAnsi"/>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3E12"/>
    <w:rPr>
      <w:b/>
      <w:bCs/>
    </w:rPr>
  </w:style>
  <w:style w:type="paragraph" w:styleId="ListParagraph">
    <w:name w:val="List Paragraph"/>
    <w:basedOn w:val="Normal"/>
    <w:uiPriority w:val="34"/>
    <w:qFormat/>
    <w:rsid w:val="00F63E12"/>
    <w:pPr>
      <w:spacing w:after="160" w:line="259" w:lineRule="auto"/>
      <w:ind w:left="720"/>
      <w:contextualSpacing/>
    </w:pPr>
    <w:rPr>
      <w:rFonts w:eastAsiaTheme="minorEastAsia"/>
      <w:sz w:val="20"/>
      <w:szCs w:val="20"/>
      <w:lang w:eastAsia="zh-CN"/>
    </w:rPr>
  </w:style>
  <w:style w:type="character" w:styleId="Hyperlink">
    <w:name w:val="Hyperlink"/>
    <w:basedOn w:val="DefaultParagraphFont"/>
    <w:uiPriority w:val="99"/>
    <w:unhideWhenUsed/>
    <w:rsid w:val="00F63E12"/>
    <w:rPr>
      <w:color w:val="0000FF"/>
      <w:u w:val="single"/>
    </w:rPr>
  </w:style>
  <w:style w:type="character" w:styleId="UnresolvedMention">
    <w:name w:val="Unresolved Mention"/>
    <w:basedOn w:val="DefaultParagraphFont"/>
    <w:uiPriority w:val="99"/>
    <w:semiHidden/>
    <w:unhideWhenUsed/>
    <w:rsid w:val="002952A6"/>
    <w:rPr>
      <w:color w:val="605E5C"/>
      <w:shd w:val="clear" w:color="auto" w:fill="E1DFDD"/>
    </w:rPr>
  </w:style>
  <w:style w:type="table" w:styleId="TableGrid">
    <w:name w:val="Table Grid"/>
    <w:basedOn w:val="TableNormal"/>
    <w:uiPriority w:val="39"/>
    <w:rsid w:val="005E0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3692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2">
    <w:name w:val="Grid Table 4 Accent 2"/>
    <w:basedOn w:val="TableNormal"/>
    <w:uiPriority w:val="49"/>
    <w:rsid w:val="0043692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6">
    <w:name w:val="Grid Table 2 Accent 6"/>
    <w:basedOn w:val="TableNormal"/>
    <w:uiPriority w:val="47"/>
    <w:rsid w:val="0043692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99512">
      <w:bodyDiv w:val="1"/>
      <w:marLeft w:val="0"/>
      <w:marRight w:val="0"/>
      <w:marTop w:val="0"/>
      <w:marBottom w:val="0"/>
      <w:divBdr>
        <w:top w:val="none" w:sz="0" w:space="0" w:color="auto"/>
        <w:left w:val="none" w:sz="0" w:space="0" w:color="auto"/>
        <w:bottom w:val="none" w:sz="0" w:space="0" w:color="auto"/>
        <w:right w:val="none" w:sz="0" w:space="0" w:color="auto"/>
      </w:divBdr>
    </w:div>
    <w:div w:id="1612593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581</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pawar</dc:creator>
  <cp:lastModifiedBy>Namdeo Pawar</cp:lastModifiedBy>
  <cp:revision>19</cp:revision>
  <cp:lastPrinted>2023-03-19T18:35:00Z</cp:lastPrinted>
  <dcterms:created xsi:type="dcterms:W3CDTF">2023-03-22T04:15:00Z</dcterms:created>
  <dcterms:modified xsi:type="dcterms:W3CDTF">2023-04-20T11:27:00Z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